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16" w:rsidRPr="00C34616" w:rsidRDefault="0034379C" w:rsidP="00C34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Hommage à </w:t>
      </w:r>
      <w:r w:rsidR="00C34616" w:rsidRPr="00C34616">
        <w:rPr>
          <w:b/>
          <w:sz w:val="32"/>
          <w:szCs w:val="32"/>
        </w:rPr>
        <w:t>Maurice Jarre</w:t>
      </w:r>
      <w:r w:rsidR="00CC593E">
        <w:rPr>
          <w:b/>
          <w:sz w:val="32"/>
          <w:szCs w:val="32"/>
        </w:rPr>
        <w:t xml:space="preserve"> (1924-2009)</w:t>
      </w:r>
    </w:p>
    <w:p w:rsidR="00C34616" w:rsidRPr="00C34616" w:rsidRDefault="00C34616" w:rsidP="00C34616">
      <w:pPr>
        <w:jc w:val="center"/>
        <w:rPr>
          <w:b/>
          <w:sz w:val="32"/>
          <w:szCs w:val="32"/>
        </w:rPr>
      </w:pPr>
      <w:r w:rsidRPr="00C34616">
        <w:rPr>
          <w:b/>
          <w:sz w:val="32"/>
          <w:szCs w:val="32"/>
        </w:rPr>
        <w:t>De Lyon à Hollywood</w:t>
      </w:r>
    </w:p>
    <w:p w:rsidR="00C34616" w:rsidRDefault="00C34616" w:rsidP="00C34616">
      <w:pPr>
        <w:jc w:val="center"/>
      </w:pPr>
    </w:p>
    <w:p w:rsidR="00C34616" w:rsidRDefault="00C34616" w:rsidP="00C34616">
      <w:pPr>
        <w:jc w:val="center"/>
      </w:pPr>
      <w:r>
        <w:t>Colloque international</w:t>
      </w:r>
    </w:p>
    <w:p w:rsidR="00C34616" w:rsidRDefault="00C34616" w:rsidP="00C34616">
      <w:pPr>
        <w:jc w:val="both"/>
      </w:pPr>
    </w:p>
    <w:p w:rsidR="00CC593E" w:rsidRDefault="00CC593E" w:rsidP="00CC59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Trois</w:t>
      </w:r>
      <w:r w:rsidR="00C34616" w:rsidRPr="00A9535D">
        <w:rPr>
          <w:color w:val="000000" w:themeColor="text1"/>
        </w:rPr>
        <w:t xml:space="preserve"> ans avant de mourir, Maurice Jarre donnait un concert à Lyon le 20 avril 2006 à l’auditorium Maurice Ravel. Accompagné par les musiciens de l’Orchestre National de Lyon, le compositeur retrouvait sa ville natale pour </w:t>
      </w:r>
      <w:r w:rsidR="00CE41B4">
        <w:rPr>
          <w:color w:val="000000" w:themeColor="text1"/>
        </w:rPr>
        <w:t>y f</w:t>
      </w:r>
      <w:r w:rsidR="00C34616" w:rsidRPr="00A9535D">
        <w:rPr>
          <w:color w:val="000000" w:themeColor="text1"/>
        </w:rPr>
        <w:t xml:space="preserve">êter ses 50 ans de carrière. </w:t>
      </w:r>
    </w:p>
    <w:p w:rsidR="00FD0E85" w:rsidRPr="00477E4D" w:rsidRDefault="00C34616" w:rsidP="00CC593E">
      <w:pPr>
        <w:ind w:firstLine="708"/>
        <w:jc w:val="both"/>
      </w:pPr>
      <w:r w:rsidRPr="00A9535D">
        <w:rPr>
          <w:color w:val="000000" w:themeColor="text1"/>
        </w:rPr>
        <w:t>Né dans le 5</w:t>
      </w:r>
      <w:r w:rsidRPr="00A9535D">
        <w:rPr>
          <w:color w:val="000000" w:themeColor="text1"/>
          <w:vertAlign w:val="superscript"/>
        </w:rPr>
        <w:t>e</w:t>
      </w:r>
      <w:r w:rsidRPr="00A9535D">
        <w:rPr>
          <w:color w:val="000000" w:themeColor="text1"/>
        </w:rPr>
        <w:t xml:space="preserve"> arrondissement</w:t>
      </w:r>
      <w:r w:rsidR="00CC593E">
        <w:rPr>
          <w:color w:val="000000" w:themeColor="text1"/>
        </w:rPr>
        <w:t xml:space="preserve"> lyonnais</w:t>
      </w:r>
      <w:r w:rsidRPr="00A9535D">
        <w:rPr>
          <w:color w:val="000000" w:themeColor="text1"/>
        </w:rPr>
        <w:t xml:space="preserve">, Maurice Jarre a fait ses études au lycée Ampère avant de rejoindre Paris pour </w:t>
      </w:r>
      <w:r w:rsidR="00AE1638">
        <w:rPr>
          <w:color w:val="000000" w:themeColor="text1"/>
        </w:rPr>
        <w:t>s</w:t>
      </w:r>
      <w:r w:rsidRPr="00A9535D">
        <w:rPr>
          <w:color w:val="000000" w:themeColor="text1"/>
        </w:rPr>
        <w:t>uivre des cours au Conservatoire</w:t>
      </w:r>
      <w:r w:rsidR="00A9535D" w:rsidRPr="00A9535D">
        <w:rPr>
          <w:color w:val="000000" w:themeColor="text1"/>
        </w:rPr>
        <w:t xml:space="preserve">. Il y </w:t>
      </w:r>
      <w:r w:rsidR="000062BF">
        <w:rPr>
          <w:color w:val="000000" w:themeColor="text1"/>
        </w:rPr>
        <w:t xml:space="preserve">a </w:t>
      </w:r>
      <w:r w:rsidR="00A9535D" w:rsidRPr="00A9535D">
        <w:rPr>
          <w:color w:val="000000" w:themeColor="text1"/>
        </w:rPr>
        <w:t>étudi</w:t>
      </w:r>
      <w:r w:rsidR="000062BF">
        <w:rPr>
          <w:color w:val="000000" w:themeColor="text1"/>
        </w:rPr>
        <w:t>é</w:t>
      </w:r>
      <w:r w:rsidR="00A9535D" w:rsidRPr="00A9535D">
        <w:rPr>
          <w:color w:val="000000" w:themeColor="text1"/>
        </w:rPr>
        <w:t xml:space="preserve"> les percussions avec Félix Passerone, l'orchestration avec Louis Aubert et la composition avec Arthur Honegger</w:t>
      </w:r>
      <w:r w:rsidR="0009104E">
        <w:rPr>
          <w:color w:val="000000" w:themeColor="text1"/>
        </w:rPr>
        <w:t xml:space="preserve"> </w:t>
      </w:r>
      <w:r w:rsidR="00A9535D" w:rsidRPr="00A9535D">
        <w:rPr>
          <w:color w:val="000000" w:themeColor="text1"/>
        </w:rPr>
        <w:t>qui l'</w:t>
      </w:r>
      <w:r w:rsidR="000062BF">
        <w:rPr>
          <w:color w:val="000000" w:themeColor="text1"/>
        </w:rPr>
        <w:t xml:space="preserve">a </w:t>
      </w:r>
      <w:r w:rsidR="00A9535D" w:rsidRPr="00A9535D">
        <w:rPr>
          <w:color w:val="000000" w:themeColor="text1"/>
        </w:rPr>
        <w:t>initi</w:t>
      </w:r>
      <w:r w:rsidR="000062BF">
        <w:rPr>
          <w:color w:val="000000" w:themeColor="text1"/>
        </w:rPr>
        <w:t>é</w:t>
      </w:r>
      <w:r w:rsidR="00A9535D" w:rsidRPr="00A9535D">
        <w:rPr>
          <w:color w:val="000000" w:themeColor="text1"/>
        </w:rPr>
        <w:t xml:space="preserve"> à la musique de film.</w:t>
      </w:r>
      <w:r w:rsidR="00C7124F">
        <w:rPr>
          <w:color w:val="000000" w:themeColor="text1"/>
        </w:rPr>
        <w:t xml:space="preserve"> </w:t>
      </w:r>
      <w:r w:rsidR="00AE1638">
        <w:rPr>
          <w:color w:val="000000" w:themeColor="text1"/>
        </w:rPr>
        <w:t>I</w:t>
      </w:r>
      <w:r w:rsidR="00C7124F">
        <w:rPr>
          <w:color w:val="000000" w:themeColor="text1"/>
        </w:rPr>
        <w:t xml:space="preserve">l commence sa vie professionnelle </w:t>
      </w:r>
      <w:r w:rsidR="00AE1638">
        <w:rPr>
          <w:color w:val="000000" w:themeColor="text1"/>
        </w:rPr>
        <w:t xml:space="preserve">en tenant les percussions </w:t>
      </w:r>
      <w:r w:rsidR="00C7124F">
        <w:rPr>
          <w:color w:val="000000" w:themeColor="text1"/>
        </w:rPr>
        <w:t xml:space="preserve">dans la compagnie Renaud-Barrault, avant de rejoindre </w:t>
      </w:r>
      <w:r w:rsidR="00CC593E">
        <w:rPr>
          <w:color w:val="000000" w:themeColor="text1"/>
        </w:rPr>
        <w:t xml:space="preserve">Jean Vilar </w:t>
      </w:r>
      <w:r w:rsidR="00C7124F">
        <w:rPr>
          <w:color w:val="000000" w:themeColor="text1"/>
        </w:rPr>
        <w:t xml:space="preserve">en 1951 qui lui confie la direction musicale du Théâtre National Populaire. Le cinéma l’appelle </w:t>
      </w:r>
      <w:r w:rsidR="00AE1638">
        <w:rPr>
          <w:color w:val="000000" w:themeColor="text1"/>
        </w:rPr>
        <w:t xml:space="preserve">dès l’année suivante </w:t>
      </w:r>
      <w:r w:rsidR="00C7124F">
        <w:rPr>
          <w:color w:val="000000" w:themeColor="text1"/>
        </w:rPr>
        <w:t xml:space="preserve">en la personne de Georges Franju pour le court-métrage </w:t>
      </w:r>
      <w:r w:rsidR="00C7124F">
        <w:rPr>
          <w:i/>
          <w:color w:val="000000" w:themeColor="text1"/>
        </w:rPr>
        <w:t xml:space="preserve">Hôtel des Invalides. </w:t>
      </w:r>
      <w:r w:rsidR="00C7124F">
        <w:rPr>
          <w:color w:val="000000" w:themeColor="text1"/>
        </w:rPr>
        <w:t xml:space="preserve">Une collaboration privilégiée commence </w:t>
      </w:r>
      <w:r w:rsidR="00CC593E">
        <w:rPr>
          <w:color w:val="000000" w:themeColor="text1"/>
        </w:rPr>
        <w:t xml:space="preserve">avec le réalisateur </w:t>
      </w:r>
      <w:r w:rsidR="00C7124F">
        <w:rPr>
          <w:color w:val="000000" w:themeColor="text1"/>
        </w:rPr>
        <w:t>avec pas moins de cinq longs-</w:t>
      </w:r>
      <w:r w:rsidR="00FD0E85">
        <w:rPr>
          <w:color w:val="000000" w:themeColor="text1"/>
        </w:rPr>
        <w:t>métrages</w:t>
      </w:r>
      <w:r w:rsidR="00C7124F">
        <w:rPr>
          <w:color w:val="000000" w:themeColor="text1"/>
        </w:rPr>
        <w:t xml:space="preserve"> (</w:t>
      </w:r>
      <w:r w:rsidR="00C7124F" w:rsidRPr="00C7124F">
        <w:rPr>
          <w:i/>
          <w:iCs/>
        </w:rPr>
        <w:t>La Tête contre les murs</w:t>
      </w:r>
      <w:r w:rsidR="00C7124F" w:rsidRPr="00C7124F">
        <w:t xml:space="preserve">, 1958 ; </w:t>
      </w:r>
      <w:r w:rsidR="00C7124F" w:rsidRPr="00C7124F">
        <w:rPr>
          <w:i/>
          <w:iCs/>
        </w:rPr>
        <w:t>Les Yeux sans visage</w:t>
      </w:r>
      <w:r w:rsidR="00C7124F" w:rsidRPr="00C7124F">
        <w:t xml:space="preserve">, 1960 ; </w:t>
      </w:r>
      <w:r w:rsidR="00C7124F" w:rsidRPr="00C7124F">
        <w:rPr>
          <w:i/>
          <w:iCs/>
        </w:rPr>
        <w:t>Pleins feux sur l'assassin</w:t>
      </w:r>
      <w:r w:rsidR="00C7124F" w:rsidRPr="00C7124F">
        <w:t xml:space="preserve">, 1961 ; </w:t>
      </w:r>
      <w:r w:rsidR="00C7124F" w:rsidRPr="00C7124F">
        <w:rPr>
          <w:i/>
          <w:iCs/>
        </w:rPr>
        <w:t>Thérèse Desqueyroux</w:t>
      </w:r>
      <w:r w:rsidR="00C7124F" w:rsidRPr="00C7124F">
        <w:t xml:space="preserve">, 1962 ; </w:t>
      </w:r>
      <w:r w:rsidR="00C7124F" w:rsidRPr="00C7124F">
        <w:rPr>
          <w:i/>
          <w:iCs/>
        </w:rPr>
        <w:t>Judex</w:t>
      </w:r>
      <w:r w:rsidR="00C7124F" w:rsidRPr="00C7124F">
        <w:t>, 1963)</w:t>
      </w:r>
      <w:r w:rsidR="00C7124F">
        <w:t xml:space="preserve">. </w:t>
      </w:r>
      <w:r w:rsidR="000062BF">
        <w:t>On y décèle déjà son goût pour les</w:t>
      </w:r>
      <w:r w:rsidR="00AE1638">
        <w:t xml:space="preserve"> sonorités étranges</w:t>
      </w:r>
      <w:r w:rsidR="000062BF">
        <w:t xml:space="preserve"> </w:t>
      </w:r>
      <w:r w:rsidR="00CC593E">
        <w:t>(ondes Martenot, piano préparé, banjo désa</w:t>
      </w:r>
      <w:r w:rsidR="00CE41B4">
        <w:t>c</w:t>
      </w:r>
      <w:r w:rsidR="00CC593E">
        <w:t xml:space="preserve">cordé) </w:t>
      </w:r>
      <w:r w:rsidR="000062BF">
        <w:t xml:space="preserve">et les valses. </w:t>
      </w:r>
      <w:r w:rsidR="00477E4D">
        <w:t xml:space="preserve">Un autre binôme se met </w:t>
      </w:r>
      <w:r w:rsidR="00CE41B4">
        <w:t xml:space="preserve">également </w:t>
      </w:r>
      <w:r w:rsidR="00477E4D">
        <w:t>en place avec Henri Verneuil</w:t>
      </w:r>
      <w:r w:rsidR="00CE41B4">
        <w:t>,</w:t>
      </w:r>
      <w:r w:rsidR="00477E4D">
        <w:t xml:space="preserve"> pour lequel Maurice Jarre livrera trois partitions : </w:t>
      </w:r>
      <w:r w:rsidR="00477E4D">
        <w:rPr>
          <w:i/>
        </w:rPr>
        <w:t>Le Président</w:t>
      </w:r>
      <w:r w:rsidR="00477E4D">
        <w:t xml:space="preserve"> (1961), </w:t>
      </w:r>
      <w:r w:rsidR="00477E4D">
        <w:rPr>
          <w:i/>
        </w:rPr>
        <w:t>Week-end à Zuydcoote</w:t>
      </w:r>
      <w:r w:rsidR="00477E4D">
        <w:t xml:space="preserve"> (1964) et </w:t>
      </w:r>
      <w:r w:rsidR="00477E4D">
        <w:rPr>
          <w:i/>
        </w:rPr>
        <w:t>La Vingt-cinquième heure</w:t>
      </w:r>
      <w:r w:rsidR="00477E4D">
        <w:t xml:space="preserve"> (1967).</w:t>
      </w:r>
    </w:p>
    <w:p w:rsidR="00FD0E85" w:rsidRDefault="000062BF" w:rsidP="00FD0E85">
      <w:pPr>
        <w:ind w:firstLine="708"/>
        <w:jc w:val="both"/>
      </w:pPr>
      <w:r>
        <w:t xml:space="preserve">Oscar du meilleur film étranger en 1963, </w:t>
      </w:r>
      <w:r w:rsidR="00CC593E">
        <w:t xml:space="preserve">le film </w:t>
      </w:r>
      <w:r>
        <w:rPr>
          <w:i/>
        </w:rPr>
        <w:t xml:space="preserve">Les Dimanche de Ville d’Avray </w:t>
      </w:r>
      <w:r>
        <w:t xml:space="preserve">(Serge Bourguignon) permet au compositeur de toucher une </w:t>
      </w:r>
      <w:r w:rsidR="00CB4C02">
        <w:t xml:space="preserve">plus </w:t>
      </w:r>
      <w:r>
        <w:t xml:space="preserve">large audience </w:t>
      </w:r>
      <w:r w:rsidR="00CB4C02">
        <w:t xml:space="preserve">tandis que </w:t>
      </w:r>
      <w:r w:rsidR="00CB4C02">
        <w:rPr>
          <w:i/>
        </w:rPr>
        <w:t>Lawrence d’Arabie</w:t>
      </w:r>
      <w:r w:rsidR="00CB4C02">
        <w:t xml:space="preserve">, super production </w:t>
      </w:r>
      <w:r w:rsidR="00C37A58">
        <w:t xml:space="preserve">britannique </w:t>
      </w:r>
      <w:r w:rsidR="00CB4C02">
        <w:t xml:space="preserve">réalisée par </w:t>
      </w:r>
      <w:r>
        <w:t xml:space="preserve">David Lean </w:t>
      </w:r>
      <w:r w:rsidR="00CB4C02">
        <w:t>lui apporte une reconnaissance internationale</w:t>
      </w:r>
      <w:r w:rsidR="00CC593E">
        <w:t xml:space="preserve"> avec l’obtention d’un oscar – il récoltera la précieuse statuette trois fois au cours de sa carrière</w:t>
      </w:r>
      <w:r w:rsidR="00CB4C02">
        <w:t xml:space="preserve">. Jarre s’installe à Hollywood </w:t>
      </w:r>
      <w:r w:rsidR="00C37A58">
        <w:t>en 1</w:t>
      </w:r>
      <w:r w:rsidR="009071B4">
        <w:t>9</w:t>
      </w:r>
      <w:r w:rsidR="00C37A58">
        <w:t>65 et</w:t>
      </w:r>
      <w:r w:rsidR="009071B4">
        <w:t>, tout en continuant de travailler avec David Lean (</w:t>
      </w:r>
      <w:r w:rsidR="009071B4" w:rsidRPr="009071B4">
        <w:rPr>
          <w:i/>
          <w:iCs/>
        </w:rPr>
        <w:t>Doctor Zhivago</w:t>
      </w:r>
      <w:r w:rsidR="009071B4" w:rsidRPr="009071B4">
        <w:t xml:space="preserve"> </w:t>
      </w:r>
      <w:r w:rsidR="009071B4" w:rsidRPr="00C37A58">
        <w:rPr>
          <w:color w:val="000000" w:themeColor="text1"/>
        </w:rPr>
        <w:t>– </w:t>
      </w:r>
      <w:r w:rsidR="009071B4" w:rsidRPr="009071B4">
        <w:rPr>
          <w:i/>
          <w:iCs/>
        </w:rPr>
        <w:t>Docteur Jivago</w:t>
      </w:r>
      <w:r w:rsidR="009071B4">
        <w:rPr>
          <w:i/>
          <w:iCs/>
        </w:rPr>
        <w:t xml:space="preserve"> </w:t>
      </w:r>
      <w:r w:rsidR="009071B4" w:rsidRPr="00C37A58">
        <w:rPr>
          <w:color w:val="000000" w:themeColor="text1"/>
        </w:rPr>
        <w:t>–</w:t>
      </w:r>
      <w:r w:rsidR="00CC593E">
        <w:rPr>
          <w:color w:val="000000" w:themeColor="text1"/>
        </w:rPr>
        <w:t>,</w:t>
      </w:r>
      <w:r w:rsidR="009071B4" w:rsidRPr="009071B4">
        <w:t xml:space="preserve"> 1965</w:t>
      </w:r>
      <w:r w:rsidR="00CC593E">
        <w:t> ;</w:t>
      </w:r>
      <w:r w:rsidR="009071B4" w:rsidRPr="009071B4">
        <w:t xml:space="preserve"> </w:t>
      </w:r>
      <w:r w:rsidR="009071B4" w:rsidRPr="009071B4">
        <w:rPr>
          <w:i/>
          <w:iCs/>
        </w:rPr>
        <w:t>Ryan's Daughter</w:t>
      </w:r>
      <w:r w:rsidR="009071B4" w:rsidRPr="009071B4">
        <w:t xml:space="preserve"> </w:t>
      </w:r>
      <w:r w:rsidR="009071B4" w:rsidRPr="00C37A58">
        <w:rPr>
          <w:color w:val="000000" w:themeColor="text1"/>
        </w:rPr>
        <w:t>– </w:t>
      </w:r>
      <w:r w:rsidR="009071B4" w:rsidRPr="009071B4">
        <w:rPr>
          <w:i/>
          <w:iCs/>
        </w:rPr>
        <w:t>La Fille de Ryan</w:t>
      </w:r>
      <w:r w:rsidR="009071B4">
        <w:rPr>
          <w:i/>
          <w:iCs/>
        </w:rPr>
        <w:t xml:space="preserve"> </w:t>
      </w:r>
      <w:r w:rsidR="009071B4" w:rsidRPr="00C37A58">
        <w:rPr>
          <w:color w:val="000000" w:themeColor="text1"/>
        </w:rPr>
        <w:t>–</w:t>
      </w:r>
      <w:r w:rsidR="009071B4">
        <w:rPr>
          <w:color w:val="000000" w:themeColor="text1"/>
        </w:rPr>
        <w:t>,</w:t>
      </w:r>
      <w:r w:rsidR="009071B4" w:rsidRPr="009071B4">
        <w:t xml:space="preserve"> 1970</w:t>
      </w:r>
      <w:r w:rsidR="00CC593E">
        <w:t> ;</w:t>
      </w:r>
      <w:r w:rsidR="009071B4" w:rsidRPr="009071B4">
        <w:t xml:space="preserve"> </w:t>
      </w:r>
      <w:r w:rsidR="009071B4" w:rsidRPr="009071B4">
        <w:rPr>
          <w:i/>
          <w:iCs/>
        </w:rPr>
        <w:t>A Passage to India</w:t>
      </w:r>
      <w:r w:rsidR="009071B4" w:rsidRPr="009071B4">
        <w:t xml:space="preserve"> </w:t>
      </w:r>
      <w:r w:rsidR="009071B4" w:rsidRPr="00C37A58">
        <w:rPr>
          <w:color w:val="000000" w:themeColor="text1"/>
        </w:rPr>
        <w:t>– </w:t>
      </w:r>
      <w:r w:rsidR="009071B4" w:rsidRPr="009071B4">
        <w:rPr>
          <w:i/>
          <w:iCs/>
        </w:rPr>
        <w:t>La Route des Indes</w:t>
      </w:r>
      <w:r w:rsidR="009071B4">
        <w:t xml:space="preserve"> </w:t>
      </w:r>
      <w:r w:rsidR="009071B4" w:rsidRPr="00C37A58">
        <w:rPr>
          <w:color w:val="000000" w:themeColor="text1"/>
        </w:rPr>
        <w:t>–</w:t>
      </w:r>
      <w:r w:rsidR="00CC593E">
        <w:rPr>
          <w:color w:val="000000" w:themeColor="text1"/>
        </w:rPr>
        <w:t>,</w:t>
      </w:r>
      <w:r w:rsidR="009071B4" w:rsidRPr="00C37A58">
        <w:rPr>
          <w:color w:val="000000" w:themeColor="text1"/>
        </w:rPr>
        <w:t> </w:t>
      </w:r>
      <w:r w:rsidR="009071B4" w:rsidRPr="009071B4">
        <w:t>1984)</w:t>
      </w:r>
      <w:r w:rsidR="009071B4">
        <w:t xml:space="preserve"> </w:t>
      </w:r>
      <w:r w:rsidR="00C37A58">
        <w:t>commence une carrière américaine, collaborant avec les plus grands réalisateurs </w:t>
      </w:r>
      <w:r w:rsidR="00CC593E">
        <w:rPr>
          <w:color w:val="000000" w:themeColor="text1"/>
        </w:rPr>
        <w:t>parmi lesquels</w:t>
      </w:r>
      <w:r w:rsidR="00C37A58" w:rsidRPr="00C37A58">
        <w:rPr>
          <w:color w:val="000000" w:themeColor="text1"/>
        </w:rPr>
        <w:t xml:space="preserve"> John Frankenheimer (</w:t>
      </w:r>
      <w:r w:rsidR="00C37A58" w:rsidRPr="00C37A58">
        <w:rPr>
          <w:rStyle w:val="Accentuation"/>
          <w:color w:val="000000" w:themeColor="text1"/>
        </w:rPr>
        <w:t>The Train</w:t>
      </w:r>
      <w:r w:rsidR="00C37A58" w:rsidRPr="00C37A58">
        <w:rPr>
          <w:color w:val="000000" w:themeColor="text1"/>
        </w:rPr>
        <w:t xml:space="preserve"> – </w:t>
      </w:r>
      <w:r w:rsidR="00C37A58" w:rsidRPr="00C37A58">
        <w:rPr>
          <w:rStyle w:val="Accentuation"/>
          <w:color w:val="000000" w:themeColor="text1"/>
        </w:rPr>
        <w:t>Le Train</w:t>
      </w:r>
      <w:r w:rsidR="00C37A58" w:rsidRPr="00C37A58">
        <w:rPr>
          <w:color w:val="000000" w:themeColor="text1"/>
        </w:rPr>
        <w:t xml:space="preserve"> –, 1964 ; </w:t>
      </w:r>
      <w:r w:rsidR="00C37A58" w:rsidRPr="00C37A58">
        <w:rPr>
          <w:rStyle w:val="Accentuation"/>
          <w:color w:val="000000" w:themeColor="text1"/>
        </w:rPr>
        <w:t>Grand Prix</w:t>
      </w:r>
      <w:r w:rsidR="00C37A58" w:rsidRPr="00C37A58">
        <w:rPr>
          <w:color w:val="000000" w:themeColor="text1"/>
        </w:rPr>
        <w:t xml:space="preserve">, 1966 ; </w:t>
      </w:r>
      <w:r w:rsidR="00C37A58" w:rsidRPr="00C37A58">
        <w:rPr>
          <w:rStyle w:val="Accentuation"/>
          <w:color w:val="000000" w:themeColor="text1"/>
        </w:rPr>
        <w:t>The Fixer</w:t>
      </w:r>
      <w:r w:rsidR="00C37A58" w:rsidRPr="00C37A58">
        <w:rPr>
          <w:color w:val="000000" w:themeColor="text1"/>
        </w:rPr>
        <w:t xml:space="preserve"> – </w:t>
      </w:r>
      <w:r w:rsidR="00C37A58" w:rsidRPr="00C37A58">
        <w:rPr>
          <w:rStyle w:val="Accentuation"/>
          <w:color w:val="000000" w:themeColor="text1"/>
        </w:rPr>
        <w:t>L'Homme de Kiev</w:t>
      </w:r>
      <w:r w:rsidR="00C37A58" w:rsidRPr="00C37A58">
        <w:rPr>
          <w:color w:val="000000" w:themeColor="text1"/>
        </w:rPr>
        <w:t xml:space="preserve"> –, 1968), </w:t>
      </w:r>
      <w:r w:rsidR="00C37A58">
        <w:rPr>
          <w:color w:val="000000" w:themeColor="text1"/>
        </w:rPr>
        <w:t>Alfred Hitchcok (</w:t>
      </w:r>
      <w:r w:rsidR="00C37A58">
        <w:rPr>
          <w:i/>
          <w:color w:val="000000" w:themeColor="text1"/>
        </w:rPr>
        <w:t xml:space="preserve">Topaz – </w:t>
      </w:r>
      <w:r w:rsidR="00C37A58">
        <w:rPr>
          <w:color w:val="000000" w:themeColor="text1"/>
        </w:rPr>
        <w:t>L’étau</w:t>
      </w:r>
      <w:r w:rsidR="00C37A58">
        <w:rPr>
          <w:i/>
          <w:color w:val="000000" w:themeColor="text1"/>
        </w:rPr>
        <w:t xml:space="preserve"> </w:t>
      </w:r>
      <w:r w:rsidR="00C37A58">
        <w:rPr>
          <w:color w:val="000000" w:themeColor="text1"/>
        </w:rPr>
        <w:t>–</w:t>
      </w:r>
      <w:r w:rsidR="00CC593E">
        <w:rPr>
          <w:color w:val="000000" w:themeColor="text1"/>
        </w:rPr>
        <w:t>,</w:t>
      </w:r>
      <w:r w:rsidR="00C37A58">
        <w:rPr>
          <w:color w:val="000000" w:themeColor="text1"/>
        </w:rPr>
        <w:t xml:space="preserve"> 1969</w:t>
      </w:r>
      <w:r w:rsidR="00CC593E">
        <w:rPr>
          <w:color w:val="000000" w:themeColor="text1"/>
        </w:rPr>
        <w:t>),</w:t>
      </w:r>
      <w:r w:rsidR="00CC593E" w:rsidRPr="00CC593E">
        <w:rPr>
          <w:color w:val="000000" w:themeColor="text1"/>
        </w:rPr>
        <w:t xml:space="preserve"> </w:t>
      </w:r>
      <w:r w:rsidR="00CC593E" w:rsidRPr="00C37A58">
        <w:rPr>
          <w:color w:val="000000" w:themeColor="text1"/>
        </w:rPr>
        <w:t>John Huston (</w:t>
      </w:r>
      <w:r w:rsidR="00CC593E" w:rsidRPr="00C37A58">
        <w:rPr>
          <w:rStyle w:val="Accentuation"/>
          <w:color w:val="000000" w:themeColor="text1"/>
        </w:rPr>
        <w:t>The Life and Times of Judge Roy Bean</w:t>
      </w:r>
      <w:r w:rsidR="00CC593E" w:rsidRPr="00C37A58">
        <w:rPr>
          <w:color w:val="000000" w:themeColor="text1"/>
        </w:rPr>
        <w:t xml:space="preserve"> – </w:t>
      </w:r>
      <w:r w:rsidR="00CC593E" w:rsidRPr="00C37A58">
        <w:rPr>
          <w:rStyle w:val="Accentuation"/>
          <w:color w:val="000000" w:themeColor="text1"/>
        </w:rPr>
        <w:t>Juge et hors-la-loi</w:t>
      </w:r>
      <w:r w:rsidR="00CC593E" w:rsidRPr="00C37A58">
        <w:rPr>
          <w:color w:val="000000" w:themeColor="text1"/>
        </w:rPr>
        <w:t xml:space="preserve"> –, 1972 ; </w:t>
      </w:r>
      <w:r w:rsidR="00CC593E" w:rsidRPr="00C37A58">
        <w:rPr>
          <w:rStyle w:val="Accentuation"/>
          <w:color w:val="000000" w:themeColor="text1"/>
        </w:rPr>
        <w:t>The Man who would be Ki</w:t>
      </w:r>
      <w:r w:rsidR="00CC593E">
        <w:rPr>
          <w:rStyle w:val="Accentuation"/>
          <w:color w:val="000000" w:themeColor="text1"/>
        </w:rPr>
        <w:t xml:space="preserve">ng </w:t>
      </w:r>
      <w:r w:rsidR="00CC593E">
        <w:rPr>
          <w:rStyle w:val="Accentuation"/>
          <w:i w:val="0"/>
          <w:color w:val="000000" w:themeColor="text1"/>
        </w:rPr>
        <w:t xml:space="preserve">– </w:t>
      </w:r>
      <w:r w:rsidR="00CC593E">
        <w:rPr>
          <w:rStyle w:val="Accentuation"/>
          <w:color w:val="000000" w:themeColor="text1"/>
        </w:rPr>
        <w:t>L’Homme qui voulut être Roi</w:t>
      </w:r>
      <w:r w:rsidR="00CC593E">
        <w:rPr>
          <w:rStyle w:val="Accentuation"/>
          <w:i w:val="0"/>
          <w:color w:val="000000" w:themeColor="text1"/>
        </w:rPr>
        <w:t xml:space="preserve"> –, 1975), </w:t>
      </w:r>
      <w:r w:rsidR="00CC593E">
        <w:rPr>
          <w:color w:val="000000" w:themeColor="text1"/>
        </w:rPr>
        <w:t>Elia Kazan (</w:t>
      </w:r>
      <w:r w:rsidR="00CC593E">
        <w:rPr>
          <w:i/>
          <w:color w:val="000000" w:themeColor="text1"/>
        </w:rPr>
        <w:t xml:space="preserve">The Last Tycoon </w:t>
      </w:r>
      <w:r w:rsidR="00CC593E">
        <w:rPr>
          <w:color w:val="000000" w:themeColor="text1"/>
        </w:rPr>
        <w:t>– Le dernier nabab –, 1976),</w:t>
      </w:r>
      <w:r w:rsidR="00CC593E" w:rsidRPr="00CC593E">
        <w:rPr>
          <w:color w:val="000000" w:themeColor="text1"/>
        </w:rPr>
        <w:t xml:space="preserve"> </w:t>
      </w:r>
      <w:r w:rsidR="00CC593E" w:rsidRPr="00C37A58">
        <w:rPr>
          <w:color w:val="000000" w:themeColor="text1"/>
        </w:rPr>
        <w:t>Fred Zinnemann (</w:t>
      </w:r>
      <w:r w:rsidR="00CC593E" w:rsidRPr="00C37A58">
        <w:rPr>
          <w:rStyle w:val="Accentuation"/>
          <w:color w:val="000000" w:themeColor="text1"/>
        </w:rPr>
        <w:t>Behold a Pale Horse</w:t>
      </w:r>
      <w:r w:rsidR="00CC593E" w:rsidRPr="00C37A58">
        <w:rPr>
          <w:color w:val="000000" w:themeColor="text1"/>
        </w:rPr>
        <w:t xml:space="preserve"> – </w:t>
      </w:r>
      <w:r w:rsidR="00CC593E" w:rsidRPr="00C37A58">
        <w:rPr>
          <w:rStyle w:val="Accentuation"/>
          <w:color w:val="000000" w:themeColor="text1"/>
        </w:rPr>
        <w:t>Que vienne l'heure de la vengeance</w:t>
      </w:r>
      <w:r w:rsidR="00FD0E85">
        <w:rPr>
          <w:color w:val="000000" w:themeColor="text1"/>
        </w:rPr>
        <w:t> </w:t>
      </w:r>
      <w:r w:rsidR="00CC593E" w:rsidRPr="00C37A58">
        <w:rPr>
          <w:color w:val="000000" w:themeColor="text1"/>
        </w:rPr>
        <w:t>–, 1964), William Wyler (</w:t>
      </w:r>
      <w:r w:rsidR="00CC593E" w:rsidRPr="00C37A58">
        <w:rPr>
          <w:rStyle w:val="Accentuation"/>
          <w:color w:val="000000" w:themeColor="text1"/>
        </w:rPr>
        <w:t>The Collector</w:t>
      </w:r>
      <w:r w:rsidR="00CC593E" w:rsidRPr="00C37A58">
        <w:rPr>
          <w:color w:val="000000" w:themeColor="text1"/>
        </w:rPr>
        <w:t xml:space="preserve"> – </w:t>
      </w:r>
      <w:r w:rsidR="00CC593E" w:rsidRPr="00C37A58">
        <w:rPr>
          <w:rStyle w:val="Accentuation"/>
          <w:color w:val="000000" w:themeColor="text1"/>
        </w:rPr>
        <w:t>L'Obsédé</w:t>
      </w:r>
      <w:r w:rsidR="00CC593E" w:rsidRPr="00C37A58">
        <w:rPr>
          <w:color w:val="000000" w:themeColor="text1"/>
        </w:rPr>
        <w:t> –, 1965</w:t>
      </w:r>
      <w:r w:rsidR="00C37A58">
        <w:rPr>
          <w:rStyle w:val="Accentuation"/>
          <w:i w:val="0"/>
          <w:color w:val="000000" w:themeColor="text1"/>
        </w:rPr>
        <w:t>)</w:t>
      </w:r>
      <w:r w:rsidR="009071B4">
        <w:rPr>
          <w:rStyle w:val="Accentuation"/>
          <w:i w:val="0"/>
          <w:color w:val="000000" w:themeColor="text1"/>
        </w:rPr>
        <w:t>.</w:t>
      </w:r>
      <w:r w:rsidR="00CC593E">
        <w:rPr>
          <w:rStyle w:val="Accentuation"/>
          <w:i w:val="0"/>
          <w:color w:val="000000" w:themeColor="text1"/>
        </w:rPr>
        <w:t xml:space="preserve"> Sa collaboration avec Peter Weir </w:t>
      </w:r>
      <w:r w:rsidR="00FD0E85">
        <w:rPr>
          <w:rStyle w:val="Accentuation"/>
          <w:i w:val="0"/>
          <w:color w:val="000000" w:themeColor="text1"/>
        </w:rPr>
        <w:t>l’en</w:t>
      </w:r>
      <w:r w:rsidR="00CE41B4">
        <w:rPr>
          <w:rStyle w:val="Accentuation"/>
          <w:i w:val="0"/>
          <w:color w:val="000000" w:themeColor="text1"/>
        </w:rPr>
        <w:t>g</w:t>
      </w:r>
      <w:r w:rsidR="00FD0E85">
        <w:rPr>
          <w:rStyle w:val="Accentuation"/>
          <w:i w:val="0"/>
          <w:color w:val="000000" w:themeColor="text1"/>
        </w:rPr>
        <w:t>age à se tourner vers</w:t>
      </w:r>
      <w:r w:rsidR="00CC593E">
        <w:rPr>
          <w:rStyle w:val="Accentuation"/>
          <w:i w:val="0"/>
          <w:color w:val="000000" w:themeColor="text1"/>
        </w:rPr>
        <w:t xml:space="preserve"> sonorités plus synthétiques</w:t>
      </w:r>
      <w:r w:rsidR="00FD0E85">
        <w:rPr>
          <w:rStyle w:val="Accentuation"/>
          <w:i w:val="0"/>
          <w:color w:val="000000" w:themeColor="text1"/>
        </w:rPr>
        <w:t xml:space="preserve"> (</w:t>
      </w:r>
      <w:r w:rsidR="00FD0E85" w:rsidRPr="00FD0E85">
        <w:rPr>
          <w:i/>
        </w:rPr>
        <w:t>The Year of Living Dangerously</w:t>
      </w:r>
      <w:r w:rsidR="00FD0E85">
        <w:t xml:space="preserve"> – </w:t>
      </w:r>
      <w:r w:rsidR="00FD0E85" w:rsidRPr="00FD0E85">
        <w:rPr>
          <w:rFonts w:ascii="Verdana" w:hAnsi="Verdana"/>
          <w:i/>
          <w:sz w:val="20"/>
          <w:szCs w:val="20"/>
        </w:rPr>
        <w:t>L’Année de Tous les Dangers</w:t>
      </w:r>
      <w:r w:rsidR="00FD0E85">
        <w:rPr>
          <w:rFonts w:ascii="Verdana" w:hAnsi="Verdana"/>
          <w:sz w:val="20"/>
          <w:szCs w:val="20"/>
        </w:rPr>
        <w:t xml:space="preserve"> </w:t>
      </w:r>
      <w:r w:rsidR="00FD0E85">
        <w:t xml:space="preserve">–, 1982 ; </w:t>
      </w:r>
      <w:r w:rsidR="00FD0E85" w:rsidRPr="00FD0E85">
        <w:rPr>
          <w:rFonts w:ascii="Verdana" w:hAnsi="Verdana"/>
          <w:i/>
          <w:sz w:val="20"/>
          <w:szCs w:val="20"/>
        </w:rPr>
        <w:t>Witness</w:t>
      </w:r>
      <w:r w:rsidR="00FD0E85">
        <w:rPr>
          <w:rFonts w:ascii="Verdana" w:hAnsi="Verdana"/>
          <w:i/>
          <w:sz w:val="20"/>
          <w:szCs w:val="20"/>
        </w:rPr>
        <w:t xml:space="preserve">, </w:t>
      </w:r>
      <w:r w:rsidR="00FD0E85" w:rsidRPr="00FD0E85">
        <w:rPr>
          <w:rFonts w:ascii="Verdana" w:hAnsi="Verdana"/>
          <w:sz w:val="20"/>
          <w:szCs w:val="20"/>
        </w:rPr>
        <w:t>1985 ;</w:t>
      </w:r>
      <w:r w:rsidR="00FD0E85">
        <w:rPr>
          <w:rStyle w:val="Accentuation"/>
        </w:rPr>
        <w:t xml:space="preserve"> Dead Poets Society</w:t>
      </w:r>
      <w:r w:rsidR="00FD0E85">
        <w:t xml:space="preserve"> – </w:t>
      </w:r>
      <w:r w:rsidR="00FD0E85" w:rsidRPr="00FD0E85">
        <w:rPr>
          <w:rFonts w:ascii="Verdana" w:hAnsi="Verdana"/>
          <w:i/>
          <w:sz w:val="20"/>
          <w:szCs w:val="20"/>
        </w:rPr>
        <w:t>Le Cercle des Poètes Disparus</w:t>
      </w:r>
      <w:r w:rsidR="00FD0E85">
        <w:rPr>
          <w:rFonts w:ascii="Verdana" w:hAnsi="Verdana"/>
          <w:sz w:val="20"/>
          <w:szCs w:val="20"/>
        </w:rPr>
        <w:t xml:space="preserve"> </w:t>
      </w:r>
      <w:r w:rsidR="00FD0E85">
        <w:t>–</w:t>
      </w:r>
      <w:r w:rsidR="00FD0E85">
        <w:rPr>
          <w:rFonts w:ascii="Verdana" w:hAnsi="Verdana"/>
          <w:sz w:val="20"/>
          <w:szCs w:val="20"/>
        </w:rPr>
        <w:t xml:space="preserve">, 1989), une recherche qui culmine avec </w:t>
      </w:r>
      <w:r w:rsidR="00FD0E85">
        <w:rPr>
          <w:rFonts w:ascii="Verdana" w:hAnsi="Verdana"/>
          <w:i/>
          <w:sz w:val="20"/>
          <w:szCs w:val="20"/>
        </w:rPr>
        <w:t>L’échelle de Jacob</w:t>
      </w:r>
      <w:r w:rsidR="00FD0E85">
        <w:rPr>
          <w:rFonts w:ascii="Verdana" w:hAnsi="Verdana"/>
          <w:sz w:val="20"/>
          <w:szCs w:val="20"/>
        </w:rPr>
        <w:t xml:space="preserve"> (</w:t>
      </w:r>
      <w:r w:rsidR="00FD0E85" w:rsidRPr="00FD0E85">
        <w:rPr>
          <w:i/>
        </w:rPr>
        <w:t>Jacob's Ladder</w:t>
      </w:r>
      <w:r w:rsidR="00FD0E85">
        <w:t xml:space="preserve">, Adrian Lyne, 1990). </w:t>
      </w:r>
    </w:p>
    <w:p w:rsidR="00BE1835" w:rsidRDefault="00477E4D" w:rsidP="00793B86">
      <w:pPr>
        <w:ind w:firstLine="708"/>
        <w:jc w:val="both"/>
      </w:pPr>
      <w:r>
        <w:t xml:space="preserve">L’écriture extravertie pour les percussions, les recherches timbriques inouïes, les parcours harmoniques tortueux sont quelques-unes des caractéristiques du langage de Maurice Jarre que ce colloque souhaite explorer, </w:t>
      </w:r>
      <w:r w:rsidR="0034379C">
        <w:t>tant dans ces travaux pour le cinéma que dans</w:t>
      </w:r>
      <w:r>
        <w:t xml:space="preserve"> </w:t>
      </w:r>
      <w:r w:rsidR="00B868C0">
        <w:t>s</w:t>
      </w:r>
      <w:r w:rsidR="0034379C">
        <w:t>es</w:t>
      </w:r>
      <w:r w:rsidR="00B868C0">
        <w:t xml:space="preserve"> </w:t>
      </w:r>
      <w:r w:rsidR="0034379C">
        <w:t>compositions pour la scène et le concert</w:t>
      </w:r>
      <w:r w:rsidR="00B868C0">
        <w:t>. Hommage à un compositeur de premier ordre, camarade de Pierre Boulez</w:t>
      </w:r>
      <w:r w:rsidR="006B6BE4">
        <w:t xml:space="preserve"> avec lequel il entretenait </w:t>
      </w:r>
      <w:r w:rsidR="0009104E">
        <w:t>de profondes relations d’amitié</w:t>
      </w:r>
      <w:r w:rsidR="00B868C0">
        <w:t xml:space="preserve">, </w:t>
      </w:r>
      <w:r w:rsidR="006B6BE4">
        <w:t>c</w:t>
      </w:r>
      <w:r w:rsidR="00B868C0">
        <w:t>e</w:t>
      </w:r>
      <w:r w:rsidR="00615D24">
        <w:t xml:space="preserve">t évènement </w:t>
      </w:r>
      <w:r w:rsidR="00793B86">
        <w:t xml:space="preserve">souhaite </w:t>
      </w:r>
      <w:r w:rsidR="00CE41B4">
        <w:t>se consacrer</w:t>
      </w:r>
      <w:r w:rsidR="00793B86">
        <w:t xml:space="preserve"> </w:t>
      </w:r>
      <w:r w:rsidR="00CE41B4">
        <w:t>à</w:t>
      </w:r>
      <w:r w:rsidR="00793B86">
        <w:t xml:space="preserve"> l’héritage du musicien, l’un des rares </w:t>
      </w:r>
      <w:r w:rsidR="00615D24">
        <w:t xml:space="preserve">Français </w:t>
      </w:r>
      <w:r w:rsidR="00793B86">
        <w:t xml:space="preserve">à avoir fait carrière à Hollywood avec </w:t>
      </w:r>
      <w:r w:rsidR="00B868C0">
        <w:t xml:space="preserve">Georges Delerue, </w:t>
      </w:r>
      <w:r w:rsidR="00793B86">
        <w:t xml:space="preserve">Michel Legrand et plus récemment </w:t>
      </w:r>
      <w:r w:rsidR="00B868C0">
        <w:t>Alexandre Desplat</w:t>
      </w:r>
      <w:r w:rsidR="00793B86">
        <w:t>.</w:t>
      </w:r>
      <w:r w:rsidR="00C34616">
        <w:t xml:space="preserve"> </w:t>
      </w:r>
    </w:p>
    <w:p w:rsidR="00615D24" w:rsidRDefault="00615D24" w:rsidP="00793B86">
      <w:pPr>
        <w:ind w:firstLine="708"/>
        <w:jc w:val="both"/>
      </w:pPr>
      <w:r>
        <w:t>Les propositions de contributions sont à envoyer à Jérôme Rossi (</w:t>
      </w:r>
      <w:hyperlink r:id="rId4" w:history="1">
        <w:r w:rsidRPr="004E4535">
          <w:rPr>
            <w:rStyle w:val="Lienhypertexte"/>
          </w:rPr>
          <w:t>je.rossi@wanadoo.fr</w:t>
        </w:r>
      </w:hyperlink>
      <w:r>
        <w:t>) avant le 30 novembre 2023.</w:t>
      </w:r>
    </w:p>
    <w:p w:rsidR="0034379C" w:rsidRDefault="0034379C" w:rsidP="00793B86">
      <w:pPr>
        <w:ind w:firstLine="708"/>
        <w:jc w:val="both"/>
      </w:pPr>
    </w:p>
    <w:p w:rsidR="0034379C" w:rsidRDefault="0034379C" w:rsidP="00B01168">
      <w:pPr>
        <w:jc w:val="both"/>
      </w:pPr>
      <w:bookmarkStart w:id="0" w:name="_GoBack"/>
      <w:bookmarkEnd w:id="0"/>
    </w:p>
    <w:sectPr w:rsidR="0034379C" w:rsidSect="001E15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6"/>
    <w:rsid w:val="000062BF"/>
    <w:rsid w:val="0009104E"/>
    <w:rsid w:val="001E1535"/>
    <w:rsid w:val="00317437"/>
    <w:rsid w:val="0034379C"/>
    <w:rsid w:val="003C3170"/>
    <w:rsid w:val="00477E4D"/>
    <w:rsid w:val="00615D24"/>
    <w:rsid w:val="006B6BE4"/>
    <w:rsid w:val="00793B86"/>
    <w:rsid w:val="009071B4"/>
    <w:rsid w:val="00982F74"/>
    <w:rsid w:val="009A41A0"/>
    <w:rsid w:val="00A25F87"/>
    <w:rsid w:val="00A9535D"/>
    <w:rsid w:val="00AE1638"/>
    <w:rsid w:val="00AE4A4C"/>
    <w:rsid w:val="00B01168"/>
    <w:rsid w:val="00B252AA"/>
    <w:rsid w:val="00B868C0"/>
    <w:rsid w:val="00B946BF"/>
    <w:rsid w:val="00BE1835"/>
    <w:rsid w:val="00C34616"/>
    <w:rsid w:val="00C37A58"/>
    <w:rsid w:val="00C7124F"/>
    <w:rsid w:val="00CB4C02"/>
    <w:rsid w:val="00CC593E"/>
    <w:rsid w:val="00CE41B4"/>
    <w:rsid w:val="00D2644F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BE6414"/>
  <w15:chartTrackingRefBased/>
  <w15:docId w15:val="{5F94A885-C012-704E-95A5-68DB54E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8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535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7124F"/>
    <w:rPr>
      <w:i/>
      <w:iCs/>
    </w:rPr>
  </w:style>
  <w:style w:type="character" w:customStyle="1" w:styleId="spelle54">
    <w:name w:val="spelle54"/>
    <w:basedOn w:val="Policepardfaut"/>
    <w:rsid w:val="00FD0E85"/>
  </w:style>
  <w:style w:type="character" w:styleId="Mentionnonrsolue">
    <w:name w:val="Unresolved Mention"/>
    <w:basedOn w:val="Policepardfaut"/>
    <w:uiPriority w:val="99"/>
    <w:semiHidden/>
    <w:unhideWhenUsed/>
    <w:rsid w:val="0061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.rossi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2023-06-15T15:56:00Z</dcterms:created>
  <dcterms:modified xsi:type="dcterms:W3CDTF">2023-07-10T08:47:00Z</dcterms:modified>
</cp:coreProperties>
</file>